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F943F6" w:rsidP="00AA01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BSH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>
        <w:rPr>
          <w:rFonts w:ascii="Arial" w:hAnsi="Arial" w:cs="Arial"/>
          <w:b/>
          <w:sz w:val="20"/>
          <w:szCs w:val="20"/>
        </w:rPr>
        <w:t xml:space="preserve"> of over 10%</w:t>
      </w:r>
      <w:r w:rsidR="00F02E19">
        <w:rPr>
          <w:rFonts w:ascii="Arial" w:hAnsi="Arial" w:cs="Arial"/>
          <w:b/>
          <w:sz w:val="20"/>
          <w:szCs w:val="20"/>
        </w:rPr>
        <w:t xml:space="preserve">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125C9D" w:rsidRDefault="00E36A48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30005">
        <w:rPr>
          <w:rFonts w:ascii="Arial" w:hAnsi="Arial" w:cs="Arial"/>
          <w:sz w:val="20"/>
          <w:szCs w:val="20"/>
        </w:rPr>
        <w:t>1</w:t>
      </w:r>
      <w:r w:rsidR="00F943F6">
        <w:rPr>
          <w:rFonts w:ascii="Arial" w:hAnsi="Arial" w:cs="Arial"/>
          <w:sz w:val="20"/>
          <w:szCs w:val="20"/>
        </w:rPr>
        <w:t>8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943F6" w:rsidRPr="00F943F6">
        <w:rPr>
          <w:rFonts w:ascii="Arial" w:hAnsi="Arial" w:cs="Arial"/>
          <w:sz w:val="20"/>
          <w:szCs w:val="20"/>
        </w:rPr>
        <w:t>Sai</w:t>
      </w:r>
      <w:proofErr w:type="spellEnd"/>
      <w:r w:rsidR="00F943F6" w:rsidRPr="00F943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43F6" w:rsidRPr="00F943F6">
        <w:rPr>
          <w:rFonts w:ascii="Arial" w:hAnsi="Arial" w:cs="Arial"/>
          <w:sz w:val="20"/>
          <w:szCs w:val="20"/>
        </w:rPr>
        <w:t>Gon</w:t>
      </w:r>
      <w:proofErr w:type="spellEnd"/>
      <w:r w:rsidR="00F943F6" w:rsidRPr="00F943F6">
        <w:rPr>
          <w:rFonts w:ascii="Arial" w:hAnsi="Arial" w:cs="Arial"/>
          <w:sz w:val="20"/>
          <w:szCs w:val="20"/>
        </w:rPr>
        <w:t xml:space="preserve"> - Ha </w:t>
      </w:r>
      <w:proofErr w:type="spellStart"/>
      <w:r w:rsidR="00F943F6" w:rsidRPr="00F943F6">
        <w:rPr>
          <w:rFonts w:ascii="Arial" w:hAnsi="Arial" w:cs="Arial"/>
          <w:sz w:val="20"/>
          <w:szCs w:val="20"/>
        </w:rPr>
        <w:t>Noi</w:t>
      </w:r>
      <w:proofErr w:type="spellEnd"/>
      <w:r w:rsidR="00F943F6" w:rsidRPr="00F943F6">
        <w:rPr>
          <w:rFonts w:ascii="Arial" w:hAnsi="Arial" w:cs="Arial"/>
          <w:sz w:val="20"/>
          <w:szCs w:val="20"/>
        </w:rPr>
        <w:t xml:space="preserve"> Beer Corporation</w:t>
      </w:r>
      <w:r w:rsidR="00F943F6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F943F6">
        <w:rPr>
          <w:rFonts w:ascii="Arial" w:hAnsi="Arial" w:cs="Arial"/>
          <w:sz w:val="20"/>
          <w:szCs w:val="20"/>
        </w:rPr>
        <w:t xml:space="preserve"> of over 10%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943F6" w:rsidTr="00F943F6">
        <w:tc>
          <w:tcPr>
            <w:tcW w:w="1915" w:type="dxa"/>
          </w:tcPr>
          <w:p w:rsidR="00F943F6" w:rsidRDefault="00F943F6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15" w:type="dxa"/>
          </w:tcPr>
          <w:p w:rsidR="00F943F6" w:rsidRDefault="00F943F6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915" w:type="dxa"/>
          </w:tcPr>
          <w:p w:rsidR="00F943F6" w:rsidRDefault="00F943F6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in 2018</w:t>
            </w:r>
          </w:p>
        </w:tc>
        <w:tc>
          <w:tcPr>
            <w:tcW w:w="1915" w:type="dxa"/>
          </w:tcPr>
          <w:p w:rsidR="00F943F6" w:rsidRDefault="00F943F6" w:rsidP="00F94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in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16" w:type="dxa"/>
          </w:tcPr>
          <w:p w:rsidR="00F943F6" w:rsidRDefault="00F943F6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Realization in 2019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Realization in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943F6" w:rsidTr="00F943F6">
        <w:tc>
          <w:tcPr>
            <w:tcW w:w="1915" w:type="dxa"/>
          </w:tcPr>
          <w:p w:rsidR="00F943F6" w:rsidRDefault="00F943F6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915" w:type="dxa"/>
          </w:tcPr>
          <w:p w:rsidR="00F943F6" w:rsidRDefault="00F943F6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Billion dongs </w:t>
            </w:r>
          </w:p>
        </w:tc>
        <w:tc>
          <w:tcPr>
            <w:tcW w:w="1915" w:type="dxa"/>
          </w:tcPr>
          <w:p w:rsidR="00F943F6" w:rsidRDefault="00F943F6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42.6</w:t>
            </w:r>
          </w:p>
        </w:tc>
        <w:tc>
          <w:tcPr>
            <w:tcW w:w="1915" w:type="dxa"/>
          </w:tcPr>
          <w:p w:rsidR="00F943F6" w:rsidRDefault="00F943F6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916" w:type="dxa"/>
          </w:tcPr>
          <w:p w:rsidR="00F943F6" w:rsidRDefault="00F943F6" w:rsidP="00AA0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</w:tbl>
    <w:p w:rsidR="00F943F6" w:rsidRDefault="00F943F6" w:rsidP="00AA01BA">
      <w:pPr>
        <w:jc w:val="both"/>
        <w:rPr>
          <w:rFonts w:ascii="Arial" w:hAnsi="Arial" w:cs="Arial"/>
          <w:sz w:val="20"/>
          <w:szCs w:val="20"/>
        </w:rPr>
      </w:pPr>
    </w:p>
    <w:p w:rsidR="00F943F6" w:rsidRDefault="00F943F6" w:rsidP="00AA01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Reasons: </w:t>
      </w:r>
      <w:r w:rsidRPr="00F943F6">
        <w:rPr>
          <w:rFonts w:ascii="Arial" w:hAnsi="Arial" w:cs="Arial"/>
          <w:sz w:val="20"/>
          <w:szCs w:val="20"/>
        </w:rPr>
        <w:t>Profit after t</w:t>
      </w:r>
      <w:r>
        <w:rPr>
          <w:rFonts w:ascii="Arial" w:hAnsi="Arial" w:cs="Arial"/>
          <w:sz w:val="20"/>
          <w:szCs w:val="20"/>
        </w:rPr>
        <w:t>ax of</w:t>
      </w:r>
      <w:r w:rsidRPr="00F943F6">
        <w:rPr>
          <w:rFonts w:ascii="Arial" w:hAnsi="Arial" w:cs="Arial"/>
          <w:sz w:val="20"/>
          <w:szCs w:val="20"/>
        </w:rPr>
        <w:t xml:space="preserve"> 2019 </w:t>
      </w:r>
      <w:r>
        <w:rPr>
          <w:rFonts w:ascii="Arial" w:hAnsi="Arial" w:cs="Arial"/>
          <w:sz w:val="20"/>
          <w:szCs w:val="20"/>
        </w:rPr>
        <w:t>was</w:t>
      </w:r>
      <w:r w:rsidRPr="00F943F6">
        <w:rPr>
          <w:rFonts w:ascii="Arial" w:hAnsi="Arial" w:cs="Arial"/>
          <w:sz w:val="20"/>
          <w:szCs w:val="20"/>
        </w:rPr>
        <w:t xml:space="preserve"> higher than that of 2018 </w:t>
      </w:r>
      <w:r>
        <w:rPr>
          <w:rFonts w:ascii="Arial" w:hAnsi="Arial" w:cs="Arial"/>
          <w:sz w:val="20"/>
          <w:szCs w:val="20"/>
        </w:rPr>
        <w:t>because</w:t>
      </w:r>
      <w:r w:rsidRPr="00F943F6">
        <w:rPr>
          <w:rFonts w:ascii="Arial" w:hAnsi="Arial" w:cs="Arial"/>
          <w:sz w:val="20"/>
          <w:szCs w:val="20"/>
        </w:rPr>
        <w:t xml:space="preserve"> of changes in product structure and price increase in 2019, and the Company managed well cost</w:t>
      </w:r>
      <w:r>
        <w:rPr>
          <w:rFonts w:ascii="Arial" w:hAnsi="Arial" w:cs="Arial"/>
          <w:sz w:val="20"/>
          <w:szCs w:val="20"/>
        </w:rPr>
        <w:t>s and increased other 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evenue</w:t>
      </w:r>
    </w:p>
    <w:sectPr w:rsidR="00F9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654BA"/>
    <w:rsid w:val="0026711C"/>
    <w:rsid w:val="00303E63"/>
    <w:rsid w:val="00330005"/>
    <w:rsid w:val="00383720"/>
    <w:rsid w:val="003A771E"/>
    <w:rsid w:val="00467BC0"/>
    <w:rsid w:val="00496733"/>
    <w:rsid w:val="00526862"/>
    <w:rsid w:val="005B0276"/>
    <w:rsid w:val="005E7D00"/>
    <w:rsid w:val="006C595B"/>
    <w:rsid w:val="006E13A2"/>
    <w:rsid w:val="00701F46"/>
    <w:rsid w:val="007028B7"/>
    <w:rsid w:val="00745D9A"/>
    <w:rsid w:val="00772421"/>
    <w:rsid w:val="00780578"/>
    <w:rsid w:val="008078B6"/>
    <w:rsid w:val="0088081B"/>
    <w:rsid w:val="00887C3A"/>
    <w:rsid w:val="00A62855"/>
    <w:rsid w:val="00A81EB3"/>
    <w:rsid w:val="00AA01BA"/>
    <w:rsid w:val="00AA514E"/>
    <w:rsid w:val="00AF67BE"/>
    <w:rsid w:val="00BC5B0A"/>
    <w:rsid w:val="00C72FFB"/>
    <w:rsid w:val="00CA6F06"/>
    <w:rsid w:val="00E36A48"/>
    <w:rsid w:val="00F02E19"/>
    <w:rsid w:val="00F163FC"/>
    <w:rsid w:val="00F655B9"/>
    <w:rsid w:val="00F85153"/>
    <w:rsid w:val="00F943F6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42</cp:revision>
  <dcterms:created xsi:type="dcterms:W3CDTF">2019-10-16T10:03:00Z</dcterms:created>
  <dcterms:modified xsi:type="dcterms:W3CDTF">2020-03-22T12:58:00Z</dcterms:modified>
</cp:coreProperties>
</file>